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0"/>
        <w:gridCol w:w="1842"/>
        <w:gridCol w:w="5529"/>
        <w:gridCol w:w="4536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E9080D" w:rsidRDefault="00A06425" w:rsidP="00B871B6">
            <w:pPr>
              <w:spacing w:before="120" w:after="12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9080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9080D" w:rsidRPr="00E9080D">
              <w:rPr>
                <w:rFonts w:asciiTheme="minorHAnsi" w:hAnsiTheme="minorHAnsi" w:cstheme="minorHAnsi"/>
                <w:i/>
                <w:sz w:val="22"/>
                <w:szCs w:val="22"/>
              </w:rPr>
              <w:t>projekt ustawy o zmianie ustawy Prawo Budowlane oraz niektórych innych ustaw (poz. UD427)</w:t>
            </w:r>
          </w:p>
        </w:tc>
      </w:tr>
      <w:tr w:rsidR="00A06425" w:rsidRPr="00A06425" w:rsidTr="00E9080D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E9080D" w:rsidRPr="00A06425" w:rsidTr="00E9080D">
        <w:tc>
          <w:tcPr>
            <w:tcW w:w="562" w:type="dxa"/>
            <w:shd w:val="clear" w:color="auto" w:fill="auto"/>
          </w:tcPr>
          <w:p w:rsidR="00E9080D" w:rsidRPr="00A06425" w:rsidRDefault="00E9080D" w:rsidP="00E908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E9080D" w:rsidRPr="00A06425" w:rsidRDefault="00E9080D" w:rsidP="00B901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842" w:type="dxa"/>
            <w:shd w:val="clear" w:color="auto" w:fill="auto"/>
          </w:tcPr>
          <w:p w:rsidR="00E9080D" w:rsidRPr="00F43B05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3B05">
              <w:rPr>
                <w:rFonts w:asciiTheme="minorHAnsi" w:hAnsiTheme="minorHAnsi" w:cstheme="minorHAnsi"/>
                <w:sz w:val="22"/>
                <w:szCs w:val="22"/>
              </w:rPr>
              <w:t xml:space="preserve">Art. 1 pkt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  <w:p w:rsidR="00E9080D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3B05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  <w:p w:rsidR="00E9080D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080D" w:rsidRPr="00A06425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(Art. 15a ust. 3)</w:t>
            </w:r>
          </w:p>
        </w:tc>
        <w:tc>
          <w:tcPr>
            <w:tcW w:w="5529" w:type="dxa"/>
            <w:shd w:val="clear" w:color="auto" w:fill="auto"/>
          </w:tcPr>
          <w:p w:rsidR="00E9080D" w:rsidRPr="00BB72DB" w:rsidRDefault="00E9080D" w:rsidP="00202F0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 w:rsidR="00202F09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nada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nie nowego brzmienia art. 15a ust. 3</w:t>
            </w:r>
          </w:p>
          <w:p w:rsidR="00E9080D" w:rsidRDefault="00E9080D" w:rsidP="00202F0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Zmiana zakresu uprawnień do projektowania w ograniczonym zakresie,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polega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jąca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 xml:space="preserve"> na usunięciu ograniczenia zakresu do </w:t>
            </w:r>
            <w:r w:rsidRPr="00BB72D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„zabudowy zagrodowej”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spowoduje, że ten zakres uprawnień będzie wystarczający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projektowania budynków użyteczności publicznej, w tym dworców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kolejowych, które często mają kubaturę nieprzekraczającą opisanego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 xml:space="preserve">ustawie progu 1000 m³. </w:t>
            </w:r>
          </w:p>
          <w:p w:rsidR="00E9080D" w:rsidRPr="00BB72DB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Ewentualne rozszerzenie zakresu uprawnień ograniczonych proponuj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 xml:space="preserve"> zdefiniować poprzez określenie kategorii</w:t>
            </w:r>
          </w:p>
          <w:p w:rsidR="00E9080D" w:rsidRPr="00BB72DB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budynków objętych tymi uprawnieniami.</w:t>
            </w:r>
          </w:p>
          <w:p w:rsidR="00E9080D" w:rsidRPr="00BB72DB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>mojej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 xml:space="preserve"> opinii z zakresu uprawnień ograniczonych z pewnością powinny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być wyłączone obiekty kategorii XVII.</w:t>
            </w:r>
          </w:p>
        </w:tc>
        <w:tc>
          <w:tcPr>
            <w:tcW w:w="4536" w:type="dxa"/>
            <w:shd w:val="clear" w:color="auto" w:fill="auto"/>
          </w:tcPr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 w:rsidR="00202F09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następujące brzmienie:</w:t>
            </w:r>
          </w:p>
          <w:p w:rsidR="00E9080D" w:rsidRPr="00A06425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B72DB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9080D">
              <w:rPr>
                <w:rFonts w:asciiTheme="minorHAnsi" w:hAnsiTheme="minorHAnsi" w:cstheme="minorHAnsi"/>
                <w:i/>
                <w:sz w:val="22"/>
                <w:szCs w:val="22"/>
              </w:rPr>
              <w:t>3. Uprawnienia budowlane w specjalności architektonicznej w ograniczonym zakresie uprawniają do projektowania lub kierowania robotami budowlanymi w odniesieniu do architektury obiektów kategorii I, II, III, XXII o kubaturze do 1000 m³.”</w:t>
            </w:r>
          </w:p>
        </w:tc>
        <w:tc>
          <w:tcPr>
            <w:tcW w:w="1359" w:type="dxa"/>
          </w:tcPr>
          <w:p w:rsidR="00E9080D" w:rsidRPr="00A06425" w:rsidRDefault="00E9080D" w:rsidP="00E908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80D" w:rsidRPr="00A06425" w:rsidTr="00E9080D">
        <w:tc>
          <w:tcPr>
            <w:tcW w:w="562" w:type="dxa"/>
            <w:shd w:val="clear" w:color="auto" w:fill="auto"/>
          </w:tcPr>
          <w:p w:rsidR="00E9080D" w:rsidRPr="00A06425" w:rsidRDefault="00E9080D" w:rsidP="00E908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E9080D" w:rsidRPr="00A06425" w:rsidRDefault="00E9080D" w:rsidP="00B901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842" w:type="dxa"/>
            <w:shd w:val="clear" w:color="auto" w:fill="auto"/>
          </w:tcPr>
          <w:p w:rsidR="00E9080D" w:rsidRPr="00F43B05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3B05">
              <w:rPr>
                <w:rFonts w:asciiTheme="minorHAnsi" w:hAnsiTheme="minorHAnsi" w:cstheme="minorHAnsi"/>
                <w:sz w:val="22"/>
                <w:szCs w:val="22"/>
              </w:rPr>
              <w:t>Art. 1 pkt 8</w:t>
            </w:r>
          </w:p>
          <w:p w:rsidR="00E9080D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43B05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  <w:p w:rsidR="00E9080D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080D" w:rsidRPr="00A06425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F43B05">
              <w:rPr>
                <w:rFonts w:asciiTheme="minorHAnsi" w:hAnsiTheme="minorHAnsi" w:cstheme="minorHAnsi"/>
                <w:sz w:val="22"/>
                <w:szCs w:val="22"/>
              </w:rPr>
              <w:t>Art. 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 </w:t>
            </w:r>
            <w:r w:rsidRPr="00F43B05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 pkt 1 lit. e)</w:t>
            </w:r>
          </w:p>
        </w:tc>
        <w:tc>
          <w:tcPr>
            <w:tcW w:w="5529" w:type="dxa"/>
            <w:shd w:val="clear" w:color="auto" w:fill="auto"/>
          </w:tcPr>
          <w:p w:rsidR="00E9080D" w:rsidRPr="001D0C11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 xml:space="preserve"> wykreślenie z projektu ustawy art. 15b. ust 1 pkt 1 lit.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9080D" w:rsidRPr="00A06425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Zmiana w zakresie przeniesienia kompetencji do wystawiania ekspertyzy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technicznej w zakresie związanym z legalizacją obiektu, z 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posiadających odpowiednie uprawnienia budowlane bez ograniczeń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danej specjalności budowlanej, na rzecz niewielkiej grupy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rzeczoznawców budowlanych, spowoduje istotne spowolnienie procesu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 xml:space="preserve">przygotowania dokumentacji projektowej.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obecnym stanie prawnym, w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 xml:space="preserve"> ramach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swoich kompetencji rzeczoznawcy budowlani są już objęci możliwością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D0C11">
              <w:rPr>
                <w:rFonts w:asciiTheme="minorHAnsi" w:hAnsiTheme="minorHAnsi" w:cstheme="minorHAnsi"/>
                <w:sz w:val="22"/>
                <w:szCs w:val="22"/>
              </w:rPr>
              <w:t>sporządzania ekspertyz budowlanych w przedmiotowym zakresie.</w:t>
            </w:r>
          </w:p>
        </w:tc>
        <w:tc>
          <w:tcPr>
            <w:tcW w:w="4536" w:type="dxa"/>
            <w:shd w:val="clear" w:color="auto" w:fill="auto"/>
          </w:tcPr>
          <w:p w:rsidR="00E9080D" w:rsidRPr="00A06425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E9080D" w:rsidRPr="00A06425" w:rsidRDefault="00E9080D" w:rsidP="00E908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080D" w:rsidRPr="00A06425" w:rsidTr="00E9080D">
        <w:tc>
          <w:tcPr>
            <w:tcW w:w="562" w:type="dxa"/>
            <w:shd w:val="clear" w:color="auto" w:fill="auto"/>
          </w:tcPr>
          <w:p w:rsidR="00E9080D" w:rsidRPr="00A06425" w:rsidRDefault="00E9080D" w:rsidP="00E908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E9080D" w:rsidRPr="00A06425" w:rsidRDefault="00E9080D" w:rsidP="00B901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842" w:type="dxa"/>
            <w:shd w:val="clear" w:color="auto" w:fill="auto"/>
          </w:tcPr>
          <w:p w:rsidR="00E9080D" w:rsidRPr="00AD5A61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Art. 1 pkt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  <w:p w:rsidR="00E9080D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pkt 52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</w:p>
          <w:p w:rsidR="00E9080D" w:rsidRPr="00AD5A61" w:rsidRDefault="00E9080D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080D" w:rsidRPr="00F43B05" w:rsidRDefault="00E9080D" w:rsidP="00BA67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art. 35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ust. 1 pkt 2 i ust.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1a oraz 84 ust.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1 pkt 1 lit.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529" w:type="dxa"/>
            <w:shd w:val="clear" w:color="auto" w:fill="auto"/>
          </w:tcPr>
          <w:p w:rsidR="00E9080D" w:rsidRPr="00AD5A61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A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</w:t>
            </w:r>
            <w:r w:rsidR="00684493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rezygnację z dodania art. 35 ust</w:t>
            </w:r>
            <w:r w:rsidR="00106B1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1a</w:t>
            </w: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Całkowite wyłączenie prowadzenia przez organy administracji</w:t>
            </w:r>
            <w:r w:rsidR="00464A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architektoniczno-budowlanej kontroli zgodności projektu</w:t>
            </w:r>
            <w:r w:rsidR="00464A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zagospodarowania działki lub terenu z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przepisami </w:t>
            </w:r>
            <w:proofErr w:type="spellStart"/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techniczno</w:t>
            </w:r>
            <w:proofErr w:type="spellEnd"/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—</w:t>
            </w:r>
            <w:r w:rsidR="00464A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budowlanymi jest rozwiązaniem zbyt ryzykownym. Konsekwencją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proponowanej zmiany, będzie możliwość przeprowadzenia kontroli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dopiero w trakcie robót budowlanych lub po ich zakończeniu, na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podstawie art. 84 ustawy. Przeniesienie kontroli na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późniejszy etap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spowoduje zwiększenie kosztów ewentualnych błędów</w:t>
            </w: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Z punktu widzenia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realizacji strategicznych dla państwa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inwest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ycji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(np.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przez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PKP S.A.) odsunięcie weryfikacji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godności projektu z przepisami na późniejsze etapy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inwestycji zwiększa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ryzyko poniesienia dodatkowych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istotnych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kosztów oraz znacznego wydłużenia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procesu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inwestycyjnego.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Biorąc pod uwagę dotychczasowe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doświadczenia o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koliczność, że zgodność projektu z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przepisami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jest potwierdzona przez projektantów nie jest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wystarczającą gwarancją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jego rzetelności, biorąc pod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uwagę, że wysokość ewentualnych roszczeń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odszkodowawczych od projektanta, stanowi niewielki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ułamek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poniesionych przez inwestora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(Skarb Państwa)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nakładów w fazie realizacji inwestycji.</w:t>
            </w: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Proponowana zmiana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praktyce likwiduje dotychczasową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, spójną regulację, niejako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„prywatyzując”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sprawowanie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kontrol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nad przestrzenią publiczną.</w:t>
            </w: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080D" w:rsidRDefault="00E9080D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W tym kontekście wyjaśnienia wymaga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również kwestia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, czy przez „kontrolę stosowania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przepisów prawa budowlanego a w szczególności: kontrolę zgodności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wykonywania robót budowlanych z przepisami prawa budowlanego (…)”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rozumie się również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kontrolę zgodności z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przepis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ami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techniczno-budowlan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ymi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, wydan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ymi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 xml:space="preserve">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podstawie ustawy – Prawo budowlane. Jeżeli nie, należy takie wymaganie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dopisać. Jeżeli tak – brak jednoznacznego wskazania przepisów</w:t>
            </w:r>
            <w:r w:rsidR="00BA67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5A61">
              <w:rPr>
                <w:rFonts w:asciiTheme="minorHAnsi" w:hAnsiTheme="minorHAnsi" w:cstheme="minorHAnsi"/>
                <w:sz w:val="22"/>
                <w:szCs w:val="22"/>
              </w:rPr>
              <w:t>techniczno-budowlanych może budzić wątpliwości interpretacyjne.</w:t>
            </w:r>
          </w:p>
          <w:p w:rsidR="00786B76" w:rsidRDefault="00786B76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4493" w:rsidRPr="001D0C11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Analogicznie do uwagi zgłaszanej w ramach uzgodnień międzyresortowych n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>egatywnie opiniu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ję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 xml:space="preserve"> zniesienie odpowiedzialności organu administracji architektoniczno-budowlanej za sprawdzenie zgodności projektu zagospodarowania działki lub terenu z przepisami, w tym techniczno-budowlanymi. Wbrew intencjom ustawodawcy, który wskazuje na potrzebę zniesienia obciążeń organów administracji architektoniczno-budowlanej, proponowana zmiana przenosi całkowitą odpowiedzialność za stosowanie przepisów techniczno-budowlanych na projektanta. Spowoduje to praktyczne lekceważenie tych przepisów, na jeszcze większą skalę niż obecnie, a w konsekwencji zmniejszy bezpieczeństwo budowanych obiektów. Organy nadzoru budowlanego nie będą bowiem w stanie zweryfikować prawidłowości przyjmowanych rozwiązań projektowych lub będzie się to działo na zbyt późnym etapie.</w:t>
            </w:r>
          </w:p>
        </w:tc>
        <w:tc>
          <w:tcPr>
            <w:tcW w:w="4536" w:type="dxa"/>
            <w:shd w:val="clear" w:color="auto" w:fill="auto"/>
          </w:tcPr>
          <w:p w:rsidR="00E9080D" w:rsidRPr="005E4DF8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Proponuję rezygnację z projektowanej zmiany.</w:t>
            </w:r>
          </w:p>
        </w:tc>
        <w:tc>
          <w:tcPr>
            <w:tcW w:w="1359" w:type="dxa"/>
          </w:tcPr>
          <w:p w:rsidR="00E9080D" w:rsidRPr="00A06425" w:rsidRDefault="00E9080D" w:rsidP="00E908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4493" w:rsidRPr="00A06425" w:rsidTr="00E9080D">
        <w:tc>
          <w:tcPr>
            <w:tcW w:w="562" w:type="dxa"/>
            <w:shd w:val="clear" w:color="auto" w:fill="auto"/>
          </w:tcPr>
          <w:p w:rsidR="00684493" w:rsidRPr="00A06425" w:rsidRDefault="00106B14" w:rsidP="00E908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560" w:type="dxa"/>
            <w:shd w:val="clear" w:color="auto" w:fill="auto"/>
          </w:tcPr>
          <w:p w:rsidR="00684493" w:rsidRDefault="00684493" w:rsidP="00B901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842" w:type="dxa"/>
            <w:shd w:val="clear" w:color="auto" w:fill="auto"/>
          </w:tcPr>
          <w:p w:rsidR="00684493" w:rsidRPr="00AD5A61" w:rsidRDefault="00684493" w:rsidP="00E9080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77989">
              <w:rPr>
                <w:rFonts w:ascii="Arial" w:hAnsi="Arial" w:cs="Arial"/>
                <w:sz w:val="20"/>
                <w:szCs w:val="20"/>
              </w:rPr>
              <w:t>art. 3 pkt 1 projektu</w:t>
            </w:r>
          </w:p>
        </w:tc>
        <w:tc>
          <w:tcPr>
            <w:tcW w:w="5529" w:type="dxa"/>
            <w:shd w:val="clear" w:color="auto" w:fill="auto"/>
          </w:tcPr>
          <w:p w:rsidR="00684493" w:rsidRPr="00684493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>odtrzymuj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 xml:space="preserve"> uwagę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dot. braku zgody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 xml:space="preserve"> na wprowadzenie ustawowego zwolnienia pojazdów organów nadzoru budowlanego z obowiązku uiszczania opłat za postój w strefach płatnego parkowania. W obecnie obowiązującym art. 13 ust. 3 ustawy o drogach publicznych ustawodawca enumeratywnie wskazał pojazdy, które są ustawowo zwolnione z obowiązku uiszczania opłaty za postój w strefie płatnego parkowania. Są to przede wszystkim pojazdy służb państwowych (rządowych / samorządowych). Należą do nich m.in. siły zbrojne, policja, straż graniczna, straż pożarna, różnego rodzaju służby specjalne, których pojazdy też są pojazdami specjalnie oznakowanymi. Katalog pojazdów ustawowo zwolnionych z opłat za postój jest więc mocno ograniczony, a wynika to również z faktu, że opłaty z tytułu postoju w strefie płatnego parkowania są przekazywane odpowiednio do budżetów jednostek samorządu terytorialnego (JST).</w:t>
            </w:r>
          </w:p>
          <w:p w:rsidR="00684493" w:rsidRPr="00684493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 xml:space="preserve">Zatem wszelkie zmiany polegające na rozszerzeniu katalogu pojazdów zwolnionych z opłat za postój w strefie płatnego parkowania stanowiłyby uszczuplenie ich dochodów. W związku z powyższym MI nie widzi zasadności ustawowego 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rozszerzania katalogu pojazdów zwolnionych z opłaty za postój w strefie płatnego parkowania. </w:t>
            </w:r>
          </w:p>
          <w:p w:rsidR="00684493" w:rsidRPr="00684493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>Należy także wskazać, że w OSR nie został wskazany negatywny wpływ projektowanej zmiany na budżet JST. A nie da się ukryć że wprowadzenie proponowanej zmiany spowoduje uszczuplenie dochodów JST.</w:t>
            </w:r>
          </w:p>
          <w:p w:rsidR="00684493" w:rsidRPr="00684493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>Dodatkowo zgodnie z art. 13b ust. 4 ustawy o drogach publicznych, rada gminy (rada miasta), ustalając strefę płatnego parkowania m.in. może wprowadzić opłaty abonamentowe lub zryczałtowane oraz zerową stawkę opłaty dla niektórych użytkowników drogi. Zatem zgodnie z obecnie obowiązującymi przepisami ustawy o drogach publicznych istnieje możliwość zwolnienia pojazdów organów nadzoru budowlanego z opłat za postój w strefach płatnego parkowania na poziomie JST. W tym celu należy zwrócić się z odpowiednim wnioskiem do rady gminy (miasta). Podkreślić należy, że ocena potrzeby i zasadności zwolnienia danych użytkowników drogi z obowiązku uiszczania opłaty za postój w strefach płatnego parkowania powinna być dokonana przez ten samorząd. W tym zakresie pozostawiono swobodę właściwemu organowi samorządu.</w:t>
            </w:r>
          </w:p>
          <w:p w:rsidR="00684493" w:rsidRPr="00684493" w:rsidRDefault="00786B76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84493" w:rsidRPr="00684493">
              <w:rPr>
                <w:rFonts w:asciiTheme="minorHAnsi" w:hAnsiTheme="minorHAnsi" w:cstheme="minorHAnsi"/>
                <w:sz w:val="22"/>
                <w:szCs w:val="22"/>
              </w:rPr>
              <w:t>agę zadań wykonywanych przez nadzór budowlany w związku z wystąpieniem katastrof budowlanych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jest zrozumiała</w:t>
            </w:r>
            <w:r w:rsidR="00684493" w:rsidRPr="00684493">
              <w:rPr>
                <w:rFonts w:asciiTheme="minorHAnsi" w:hAnsiTheme="minorHAnsi" w:cstheme="minorHAnsi"/>
                <w:sz w:val="22"/>
                <w:szCs w:val="22"/>
              </w:rPr>
              <w:t>. Należy jednak zauważyć, że po pierwsze strefy płatnego parkowania tworzone są w miastach i miasteczkach i mają na celu przede wszystkim zwiększenie rotacji parkujących pojazdów samochodowych. Po drugie ustawowe zwolnienie z opłat za postój w strefach płatnego parkowania dotyczy pojazdów specjalnych w większości specjalnie oznakowanych, bądź też pojazdów tajnych, które w sposób ciągły wykonują zadania związane z czuwaniem nad bezpieczeństwem, porządkiem i zdrowiem obywateli RP.</w:t>
            </w:r>
          </w:p>
          <w:p w:rsidR="00684493" w:rsidRPr="00AD5A61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 xml:space="preserve">Mając powyższe na uwadze oraz argumentację przedstawioną przez GUNB w zakresie wykonywania pilnych czynności służbowych związanych z wystąpieniem katastrofy budowlanej - 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>wraca</w:t>
            </w:r>
            <w:r w:rsidR="00786B76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t xml:space="preserve"> się z prośbą o podanie informacji w ilu przypadkach rocznie nadzór budowlany w </w:t>
            </w:r>
            <w:r w:rsidRPr="0068449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związku z zaistniałą katastrofą budowlaną albo klęską żywiołową interweniował w takich miastach, w których zobowiązany był do uiszczenia opłaty za postój w strefie płatnego parkowania.</w:t>
            </w:r>
          </w:p>
        </w:tc>
        <w:tc>
          <w:tcPr>
            <w:tcW w:w="4536" w:type="dxa"/>
            <w:shd w:val="clear" w:color="auto" w:fill="auto"/>
          </w:tcPr>
          <w:p w:rsidR="00684493" w:rsidRPr="005E4DF8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Proponuję rezygnację z projektowanej zmiany.</w:t>
            </w:r>
          </w:p>
        </w:tc>
        <w:tc>
          <w:tcPr>
            <w:tcW w:w="1359" w:type="dxa"/>
          </w:tcPr>
          <w:p w:rsidR="00684493" w:rsidRPr="00A06425" w:rsidRDefault="00684493" w:rsidP="00E908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4493" w:rsidRPr="00A06425" w:rsidTr="00E9080D">
        <w:tc>
          <w:tcPr>
            <w:tcW w:w="562" w:type="dxa"/>
            <w:shd w:val="clear" w:color="auto" w:fill="auto"/>
          </w:tcPr>
          <w:p w:rsidR="00684493" w:rsidRPr="00A06425" w:rsidRDefault="00106B14" w:rsidP="0068449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5.</w:t>
            </w:r>
          </w:p>
        </w:tc>
        <w:tc>
          <w:tcPr>
            <w:tcW w:w="1560" w:type="dxa"/>
            <w:shd w:val="clear" w:color="auto" w:fill="auto"/>
          </w:tcPr>
          <w:p w:rsidR="00684493" w:rsidRDefault="007B26F7" w:rsidP="00B901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842" w:type="dxa"/>
            <w:shd w:val="clear" w:color="auto" w:fill="auto"/>
          </w:tcPr>
          <w:p w:rsidR="00684493" w:rsidRPr="00C77989" w:rsidRDefault="0005237B" w:rsidP="00684493">
            <w:pPr>
              <w:rPr>
                <w:rFonts w:ascii="Arial" w:hAnsi="Arial" w:cs="Arial"/>
                <w:sz w:val="20"/>
                <w:szCs w:val="20"/>
              </w:rPr>
            </w:pPr>
            <w:r w:rsidRPr="00C77989">
              <w:rPr>
                <w:rFonts w:ascii="Arial" w:hAnsi="Arial" w:cs="Arial"/>
                <w:sz w:val="20"/>
                <w:szCs w:val="20"/>
              </w:rPr>
              <w:t>Art. 3 pkt 2-4</w:t>
            </w:r>
          </w:p>
        </w:tc>
        <w:tc>
          <w:tcPr>
            <w:tcW w:w="5529" w:type="dxa"/>
            <w:shd w:val="clear" w:color="auto" w:fill="auto"/>
          </w:tcPr>
          <w:p w:rsidR="00684493" w:rsidRPr="005E4DF8" w:rsidRDefault="00684493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Przedmiotowe zmiany ingerują w sposób funkcjonowania zarządców dróg, również samorządowych, w tym na poziomie gmin, które nie są organami administracji architektoniczno-budowlanej, zatem wprowadzenie ich będzie wymagało zaakceptowania przez Komisję Wspólną Rządu i Samorządu. </w:t>
            </w:r>
          </w:p>
          <w:p w:rsidR="00684493" w:rsidRPr="005E4DF8" w:rsidRDefault="00684493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Wyjaśnienia wymaga jakie systemy rozumie się pod pojęciem „systemy dziedzinowe zintegrowane z systemem SOPAB”. Projekt ustawy w żaden sposób nie określa w jaki sposób powstać miałyby te systemy dziedzinowe zintegrowane z systemem SOPAB, jaki byłby koszt ich stworzenia oraz kiedy miałyby one zacząć funkcjonować.</w:t>
            </w:r>
          </w:p>
          <w:p w:rsidR="00684493" w:rsidRPr="005E4DF8" w:rsidRDefault="00786B76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Uzasadnienie zawiera treść:</w:t>
            </w:r>
            <w:r w:rsidR="00684493"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 „Organy, które posiadają swoje Systemy Dziedzinowe do obsługi postępowań administracyjnych w budownictwie i nie zdecydują się na wdrożenie SOPAB, będą mogły pracować w swoich systemach, przy założeniu, że będą przekazywać dane z prowadzonych postępowań do SOPAB, aby zapewnić referencyjność systemu SOPAB w zakresie postępowań administracyjnych w budownictwie w skali całego kraju. Udostępnione zostanie API SOPAB, umożliwiające innym Systemom Dziedzinowym pełną integrację z SOPAB.”. Natomiast z projektowanych przepisów nie wynika obowiązek przekazywania danych dot. prowadzonych postępowań z systemów dziedzinowych do SOPAB.</w:t>
            </w:r>
          </w:p>
          <w:p w:rsidR="00684493" w:rsidRPr="005E4DF8" w:rsidRDefault="00684493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Ponadto należy wskazać, że w projekcie ustawy nie uwzględniono wszystkich postępowań administracyjnych prowadzonych w ramach ustawy o drogach publicznych. Nie uwzględniono następujących postępowań:</w:t>
            </w:r>
          </w:p>
          <w:p w:rsidR="00684493" w:rsidRPr="005E4DF8" w:rsidRDefault="00684493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1) przeniesienie decyzji o lokalizacji zjazdu (art. 29 ust. 7-12),</w:t>
            </w:r>
          </w:p>
          <w:p w:rsidR="00684493" w:rsidRPr="005E4DF8" w:rsidRDefault="00684493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2) decyzji o zezwoleniu na lokalizację urządzenia obcego w pasie drogowym (art. 39 ust. 3) i jej przeniesienia (art. 39 ust. 9 -16).</w:t>
            </w:r>
          </w:p>
          <w:p w:rsidR="00684493" w:rsidRPr="005E4DF8" w:rsidRDefault="00684493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Powyższe prowadzi do sytuacji, w której część postępowań prowadzona byłaby przez zarządcę drogi w dotychczasowym trybie, a pozostała część w nowym systemie.</w:t>
            </w:r>
          </w:p>
          <w:p w:rsidR="00684493" w:rsidRPr="005E4DF8" w:rsidRDefault="00684493" w:rsidP="005E4D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Przepis art. 33 ustawy regulujący moment wejścia w życie art. 3 (dot. dróg publicznych) w żaden sposób nie uwzględnia możliwości zintegrowania systemów dziedzinowych z SOPAB.</w:t>
            </w:r>
          </w:p>
        </w:tc>
        <w:tc>
          <w:tcPr>
            <w:tcW w:w="4536" w:type="dxa"/>
            <w:shd w:val="clear" w:color="auto" w:fill="auto"/>
          </w:tcPr>
          <w:p w:rsidR="00684493" w:rsidRPr="005E4DF8" w:rsidRDefault="00684493" w:rsidP="005E4DF8">
            <w:pPr>
              <w:tabs>
                <w:tab w:val="left" w:pos="137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</w:t>
            </w:r>
            <w:r w:rsidR="00786B76" w:rsidRPr="005E4DF8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 zachowanie fakultatywności w postępowaniach przewidzianych w ustawie o drogach publicznych czyli formy elektronicznej lub pisemnej składania wniosków.</w:t>
            </w:r>
          </w:p>
        </w:tc>
        <w:tc>
          <w:tcPr>
            <w:tcW w:w="1359" w:type="dxa"/>
          </w:tcPr>
          <w:p w:rsidR="00684493" w:rsidRPr="00A06425" w:rsidRDefault="00684493" w:rsidP="006844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4493" w:rsidRPr="00A06425" w:rsidTr="00E9080D">
        <w:tc>
          <w:tcPr>
            <w:tcW w:w="562" w:type="dxa"/>
            <w:shd w:val="clear" w:color="auto" w:fill="auto"/>
          </w:tcPr>
          <w:p w:rsidR="00684493" w:rsidRPr="00A06425" w:rsidRDefault="00106B14" w:rsidP="0068449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1560" w:type="dxa"/>
            <w:shd w:val="clear" w:color="auto" w:fill="auto"/>
          </w:tcPr>
          <w:p w:rsidR="00684493" w:rsidRPr="00A06425" w:rsidRDefault="00684493" w:rsidP="00B901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842" w:type="dxa"/>
            <w:shd w:val="clear" w:color="auto" w:fill="auto"/>
          </w:tcPr>
          <w:p w:rsidR="00684493" w:rsidRPr="00F43B05" w:rsidRDefault="00684493" w:rsidP="006844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10 pkt 5 projektu</w:t>
            </w:r>
          </w:p>
        </w:tc>
        <w:tc>
          <w:tcPr>
            <w:tcW w:w="5529" w:type="dxa"/>
            <w:shd w:val="clear" w:color="auto" w:fill="auto"/>
          </w:tcPr>
          <w:p w:rsidR="00684493" w:rsidRPr="005E4DF8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Proponuję wprowadzenie do art. 64a ustępu wskazującego na konieczność przeprowadzenia uzgodnień, o których mowa w art. 53 ust. 4 ustawy o planowaniu i zagospodarowaniu przestrzennym i dołączenia ich do decyzji o warunkach zabudowy. </w:t>
            </w:r>
          </w:p>
          <w:p w:rsidR="00684493" w:rsidRPr="005E4DF8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Celem propozycji jest zabezpieczenie uzgodnienia lokalizacji budynków zgodnie z art. 53 ustawy o transporcie kolejowym.</w:t>
            </w:r>
          </w:p>
        </w:tc>
        <w:tc>
          <w:tcPr>
            <w:tcW w:w="4536" w:type="dxa"/>
            <w:shd w:val="clear" w:color="auto" w:fill="auto"/>
          </w:tcPr>
          <w:p w:rsidR="00684493" w:rsidRPr="005E4DF8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684493" w:rsidRPr="00A06425" w:rsidRDefault="00684493" w:rsidP="006844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4493" w:rsidRPr="00A06425" w:rsidTr="00E9080D">
        <w:tc>
          <w:tcPr>
            <w:tcW w:w="562" w:type="dxa"/>
            <w:shd w:val="clear" w:color="auto" w:fill="auto"/>
          </w:tcPr>
          <w:p w:rsidR="00684493" w:rsidRPr="00A06425" w:rsidRDefault="00106B14" w:rsidP="0068449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1560" w:type="dxa"/>
            <w:shd w:val="clear" w:color="auto" w:fill="auto"/>
          </w:tcPr>
          <w:p w:rsidR="00684493" w:rsidRPr="00A06425" w:rsidRDefault="007B26F7" w:rsidP="00B9012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Infrastruktury</w:t>
            </w:r>
          </w:p>
        </w:tc>
        <w:tc>
          <w:tcPr>
            <w:tcW w:w="1842" w:type="dxa"/>
            <w:shd w:val="clear" w:color="auto" w:fill="auto"/>
          </w:tcPr>
          <w:p w:rsidR="007B26F7" w:rsidRDefault="007B26F7" w:rsidP="007B26F7">
            <w:pPr>
              <w:pStyle w:val="PKTpunk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Art. 33 pkt 5</w:t>
            </w:r>
          </w:p>
          <w:p w:rsidR="00684493" w:rsidRPr="00A06425" w:rsidRDefault="00684493" w:rsidP="006844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auto"/>
          </w:tcPr>
          <w:p w:rsidR="0005237B" w:rsidRPr="005E4DF8" w:rsidRDefault="00786B76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05237B" w:rsidRPr="005E4DF8">
              <w:rPr>
                <w:rFonts w:asciiTheme="minorHAnsi" w:hAnsiTheme="minorHAnsi" w:cstheme="minorHAnsi"/>
                <w:sz w:val="22"/>
                <w:szCs w:val="22"/>
              </w:rPr>
              <w:t>odtrzymuj</w:t>
            </w: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05237B"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 uwagę</w:t>
            </w:r>
            <w:r w:rsidR="007B26F7"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 dotyczącą korekty</w:t>
            </w:r>
            <w:r w:rsidR="0005237B"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 brzmieni</w:t>
            </w:r>
            <w:r w:rsidR="007B26F7" w:rsidRPr="005E4DF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05237B" w:rsidRPr="005E4DF8">
              <w:rPr>
                <w:rFonts w:asciiTheme="minorHAnsi" w:hAnsiTheme="minorHAnsi" w:cstheme="minorHAnsi"/>
                <w:sz w:val="22"/>
                <w:szCs w:val="22"/>
              </w:rPr>
              <w:t xml:space="preserve"> przepisu, gdyż wydaje się, że przepisy powinny wchodzić w życie z dniem określonym w komunikacie, o którym mowa w art. 29 projektu a nie z dniem wdrożenia rozwiązań technicznych. Poza tym jest błędne odesłanie do art. 28 a powinno być do art. 29.</w:t>
            </w:r>
          </w:p>
          <w:p w:rsidR="00684493" w:rsidRPr="005E4DF8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7B26F7" w:rsidRPr="005E4DF8" w:rsidRDefault="007B26F7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Proponuję zmienić brzmienie</w:t>
            </w:r>
          </w:p>
          <w:p w:rsidR="007B26F7" w:rsidRPr="005E4DF8" w:rsidRDefault="007B26F7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DF8">
              <w:rPr>
                <w:rFonts w:asciiTheme="minorHAnsi" w:hAnsiTheme="minorHAnsi" w:cstheme="minorHAnsi"/>
                <w:sz w:val="22"/>
                <w:szCs w:val="22"/>
              </w:rPr>
              <w:t>„5) (…) które wchodzą w życie z dniem określonym w komunikatach, o których mowa w art. 29.”</w:t>
            </w:r>
          </w:p>
          <w:p w:rsidR="00684493" w:rsidRPr="005E4DF8" w:rsidRDefault="00684493" w:rsidP="00202F0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684493" w:rsidRPr="00A06425" w:rsidRDefault="00684493" w:rsidP="006844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237B"/>
    <w:rsid w:val="00106B14"/>
    <w:rsid w:val="00140BE8"/>
    <w:rsid w:val="0019648E"/>
    <w:rsid w:val="00202F09"/>
    <w:rsid w:val="00251B04"/>
    <w:rsid w:val="002715B2"/>
    <w:rsid w:val="003124D1"/>
    <w:rsid w:val="003B4105"/>
    <w:rsid w:val="00464AFC"/>
    <w:rsid w:val="004D086F"/>
    <w:rsid w:val="005E4DF8"/>
    <w:rsid w:val="005F6527"/>
    <w:rsid w:val="006705EC"/>
    <w:rsid w:val="00684493"/>
    <w:rsid w:val="006E16E9"/>
    <w:rsid w:val="00782EA4"/>
    <w:rsid w:val="00786B76"/>
    <w:rsid w:val="007B26F7"/>
    <w:rsid w:val="00807385"/>
    <w:rsid w:val="00944932"/>
    <w:rsid w:val="009E5FDB"/>
    <w:rsid w:val="00A06425"/>
    <w:rsid w:val="00AC7796"/>
    <w:rsid w:val="00B871B6"/>
    <w:rsid w:val="00B90127"/>
    <w:rsid w:val="00BA671E"/>
    <w:rsid w:val="00C64B1B"/>
    <w:rsid w:val="00CD5EB0"/>
    <w:rsid w:val="00E14C33"/>
    <w:rsid w:val="00E9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13"/>
    <w:qFormat/>
    <w:rsid w:val="0005237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1593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Szczepanik Aleksandra</cp:lastModifiedBy>
  <cp:revision>2</cp:revision>
  <dcterms:created xsi:type="dcterms:W3CDTF">2022-11-29T14:18:00Z</dcterms:created>
  <dcterms:modified xsi:type="dcterms:W3CDTF">2022-11-29T14:18:00Z</dcterms:modified>
</cp:coreProperties>
</file>